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86" w:rsidRPr="00260685" w:rsidRDefault="008F1262" w:rsidP="007A0A86">
      <w:pPr>
        <w:numPr>
          <w:ilvl w:val="0"/>
          <w:numId w:val="1"/>
        </w:numPr>
        <w:spacing w:after="120" w:line="240" w:lineRule="auto"/>
        <w:rPr>
          <w:rFonts w:ascii="Times New Roman" w:hAnsi="Times New Roman" w:cs="Times New Roman"/>
          <w:color w:val="000000"/>
        </w:rPr>
      </w:pPr>
      <w:r w:rsidRPr="00FF49D8">
        <w:rPr>
          <w:rFonts w:ascii="Times New Roman" w:hAnsi="Times New Roman" w:cs="Times New Roman"/>
          <w:noProof/>
          <w:lang w:val="en-AU" w:eastAsia="en-AU"/>
        </w:rPr>
        <w:drawing>
          <wp:anchor distT="0" distB="0" distL="114300" distR="114300" simplePos="0" relativeHeight="251659264" behindDoc="0" locked="0" layoutInCell="1" allowOverlap="1" wp14:anchorId="36C5B230" wp14:editId="5951AE15">
            <wp:simplePos x="0" y="0"/>
            <wp:positionH relativeFrom="column">
              <wp:posOffset>-631135</wp:posOffset>
            </wp:positionH>
            <wp:positionV relativeFrom="paragraph">
              <wp:posOffset>2821443</wp:posOffset>
            </wp:positionV>
            <wp:extent cx="7272655" cy="6029960"/>
            <wp:effectExtent l="0" t="0" r="4445" b="8890"/>
            <wp:wrapSquare wrapText="bothSides"/>
            <wp:docPr id="135" name="Picture 135" descr="Decision tree_EO ABS_F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sion tree_EO ABS_FK.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272655" cy="602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A86">
        <w:rPr>
          <w:rFonts w:ascii="Times New Roman" w:hAnsi="Times New Roman" w:cs="Times New Roman"/>
        </w:rPr>
        <w:t xml:space="preserve">From: </w:t>
      </w:r>
      <w:r w:rsidR="007A0A86">
        <w:rPr>
          <w:rFonts w:ascii="Times New Roman" w:hAnsi="Times New Roman"/>
        </w:rPr>
        <w:t xml:space="preserve">Siu. M-T (editor) </w:t>
      </w:r>
      <w:r w:rsidR="007A0A86" w:rsidRPr="00260685">
        <w:rPr>
          <w:rFonts w:ascii="Times New Roman" w:hAnsi="Times New Roman" w:cs="Times New Roman"/>
        </w:rPr>
        <w:t xml:space="preserve">Dr Hannes I. Reuter (Eurostat), Dr Arnold Dekker, Flora Kerblat, Dr Alex Held and Dr Robert Woodcock (Commonwealth Science and Industrial Research Organisation) Alexis McIntyre (Geoscience Australia), Professor Kerrie </w:t>
      </w:r>
      <w:proofErr w:type="spellStart"/>
      <w:r w:rsidR="007A0A86" w:rsidRPr="00260685">
        <w:rPr>
          <w:rFonts w:ascii="Times New Roman" w:hAnsi="Times New Roman" w:cs="Times New Roman"/>
        </w:rPr>
        <w:t>Mengersen</w:t>
      </w:r>
      <w:proofErr w:type="spellEnd"/>
      <w:r w:rsidR="007A0A86" w:rsidRPr="00260685">
        <w:rPr>
          <w:rFonts w:ascii="Times New Roman" w:hAnsi="Times New Roman" w:cs="Times New Roman"/>
        </w:rPr>
        <w:t xml:space="preserve"> and James McBroom (Queensland University of Technology), Sandra </w:t>
      </w:r>
      <w:proofErr w:type="spellStart"/>
      <w:r w:rsidR="007A0A86" w:rsidRPr="00260685">
        <w:rPr>
          <w:rFonts w:ascii="Times New Roman" w:hAnsi="Times New Roman" w:cs="Times New Roman"/>
        </w:rPr>
        <w:t>Yaneth</w:t>
      </w:r>
      <w:proofErr w:type="spellEnd"/>
      <w:r w:rsidR="007A0A86" w:rsidRPr="00260685">
        <w:rPr>
          <w:rFonts w:ascii="Times New Roman" w:hAnsi="Times New Roman" w:cs="Times New Roman"/>
        </w:rPr>
        <w:t xml:space="preserve"> Rodriquez (</w:t>
      </w:r>
      <w:proofErr w:type="spellStart"/>
      <w:r w:rsidR="007A0A86" w:rsidRPr="00260685">
        <w:rPr>
          <w:rFonts w:ascii="Times New Roman" w:hAnsi="Times New Roman" w:cs="Times New Roman"/>
        </w:rPr>
        <w:t>Departamento</w:t>
      </w:r>
      <w:proofErr w:type="spellEnd"/>
      <w:r w:rsidR="007A0A86" w:rsidRPr="00260685">
        <w:rPr>
          <w:rFonts w:ascii="Times New Roman" w:hAnsi="Times New Roman" w:cs="Times New Roman"/>
        </w:rPr>
        <w:t xml:space="preserve"> </w:t>
      </w:r>
      <w:proofErr w:type="spellStart"/>
      <w:r w:rsidR="007A0A86" w:rsidRPr="00260685">
        <w:rPr>
          <w:rFonts w:ascii="Times New Roman" w:hAnsi="Times New Roman" w:cs="Times New Roman"/>
        </w:rPr>
        <w:t>Administrativo</w:t>
      </w:r>
      <w:proofErr w:type="spellEnd"/>
      <w:r w:rsidR="007A0A86" w:rsidRPr="00260685">
        <w:rPr>
          <w:rFonts w:ascii="Times New Roman" w:hAnsi="Times New Roman" w:cs="Times New Roman"/>
        </w:rPr>
        <w:t xml:space="preserve"> Nacional de </w:t>
      </w:r>
      <w:proofErr w:type="spellStart"/>
      <w:r w:rsidR="007A0A86" w:rsidRPr="00260685">
        <w:rPr>
          <w:rFonts w:ascii="Times New Roman" w:hAnsi="Times New Roman" w:cs="Times New Roman"/>
        </w:rPr>
        <w:t>Estadistica</w:t>
      </w:r>
      <w:proofErr w:type="spellEnd"/>
      <w:r w:rsidR="007A0A86" w:rsidRPr="00260685">
        <w:rPr>
          <w:rFonts w:ascii="Times New Roman" w:hAnsi="Times New Roman" w:cs="Times New Roman"/>
        </w:rPr>
        <w:t xml:space="preserve">), and Jacinta Holloway (Australian Bureau of Statistics). I would also like to thank the authors of the Task Team Pilot reports, Patrick Dunagan (Google), Ronaldo </w:t>
      </w:r>
      <w:proofErr w:type="spellStart"/>
      <w:r w:rsidR="007A0A86" w:rsidRPr="00260685">
        <w:rPr>
          <w:rFonts w:ascii="Times New Roman" w:hAnsi="Times New Roman" w:cs="Times New Roman"/>
        </w:rPr>
        <w:t>Ocampo</w:t>
      </w:r>
      <w:proofErr w:type="spellEnd"/>
      <w:r w:rsidR="007A0A86" w:rsidRPr="00260685">
        <w:rPr>
          <w:rFonts w:ascii="Times New Roman" w:hAnsi="Times New Roman" w:cs="Times New Roman"/>
        </w:rPr>
        <w:t xml:space="preserve"> and José De La Torre (</w:t>
      </w:r>
      <w:proofErr w:type="spellStart"/>
      <w:r w:rsidR="007A0A86" w:rsidRPr="00260685">
        <w:rPr>
          <w:rFonts w:ascii="Times New Roman" w:hAnsi="Times New Roman" w:cs="Times New Roman"/>
        </w:rPr>
        <w:t>Instituto</w:t>
      </w:r>
      <w:proofErr w:type="spellEnd"/>
      <w:r w:rsidR="007A0A86" w:rsidRPr="00260685">
        <w:rPr>
          <w:rFonts w:ascii="Times New Roman" w:hAnsi="Times New Roman" w:cs="Times New Roman"/>
        </w:rPr>
        <w:t xml:space="preserve"> Nacional de </w:t>
      </w:r>
      <w:proofErr w:type="spellStart"/>
      <w:r w:rsidR="007A0A86" w:rsidRPr="00260685">
        <w:rPr>
          <w:rFonts w:ascii="Times New Roman" w:hAnsi="Times New Roman" w:cs="Times New Roman"/>
        </w:rPr>
        <w:t>Estadística</w:t>
      </w:r>
      <w:proofErr w:type="spellEnd"/>
      <w:r w:rsidR="007A0A86" w:rsidRPr="00260685">
        <w:rPr>
          <w:rFonts w:ascii="Times New Roman" w:hAnsi="Times New Roman" w:cs="Times New Roman"/>
        </w:rPr>
        <w:t xml:space="preserve"> </w:t>
      </w:r>
      <w:proofErr w:type="spellStart"/>
      <w:r w:rsidR="007A0A86" w:rsidRPr="00260685">
        <w:rPr>
          <w:rFonts w:ascii="Times New Roman" w:hAnsi="Times New Roman" w:cs="Times New Roman"/>
        </w:rPr>
        <w:t>Geografíca</w:t>
      </w:r>
      <w:proofErr w:type="spellEnd"/>
      <w:r w:rsidR="007A0A86" w:rsidRPr="00260685">
        <w:rPr>
          <w:rFonts w:ascii="Times New Roman" w:hAnsi="Times New Roman" w:cs="Times New Roman"/>
        </w:rPr>
        <w:t xml:space="preserve"> e </w:t>
      </w:r>
      <w:proofErr w:type="spellStart"/>
      <w:r w:rsidR="007A0A86" w:rsidRPr="00260685">
        <w:rPr>
          <w:rFonts w:ascii="Times New Roman" w:hAnsi="Times New Roman" w:cs="Times New Roman"/>
        </w:rPr>
        <w:t>Informática</w:t>
      </w:r>
      <w:proofErr w:type="spellEnd"/>
      <w:r w:rsidR="007A0A86" w:rsidRPr="00260685">
        <w:rPr>
          <w:rFonts w:ascii="Times New Roman" w:hAnsi="Times New Roman" w:cs="Times New Roman"/>
        </w:rPr>
        <w:t xml:space="preserve">), Jennifer Marley, Ryan </w:t>
      </w:r>
      <w:proofErr w:type="spellStart"/>
      <w:r w:rsidR="007A0A86" w:rsidRPr="00260685">
        <w:rPr>
          <w:rFonts w:ascii="Times New Roman" w:hAnsi="Times New Roman" w:cs="Times New Roman"/>
        </w:rPr>
        <w:t>Defina</w:t>
      </w:r>
      <w:proofErr w:type="spellEnd"/>
      <w:r w:rsidR="007A0A86" w:rsidRPr="00260685">
        <w:rPr>
          <w:rFonts w:ascii="Times New Roman" w:hAnsi="Times New Roman" w:cs="Times New Roman"/>
        </w:rPr>
        <w:t xml:space="preserve">, Kate </w:t>
      </w:r>
      <w:proofErr w:type="spellStart"/>
      <w:r w:rsidR="007A0A86" w:rsidRPr="00260685">
        <w:rPr>
          <w:rFonts w:ascii="Times New Roman" w:hAnsi="Times New Roman" w:cs="Times New Roman"/>
        </w:rPr>
        <w:t>Traeger</w:t>
      </w:r>
      <w:proofErr w:type="spellEnd"/>
      <w:r w:rsidR="007A0A86" w:rsidRPr="00260685">
        <w:rPr>
          <w:rFonts w:ascii="Times New Roman" w:hAnsi="Times New Roman" w:cs="Times New Roman"/>
        </w:rPr>
        <w:t xml:space="preserve">, Daniel Elazar, </w:t>
      </w:r>
      <w:proofErr w:type="spellStart"/>
      <w:r w:rsidR="007A0A86" w:rsidRPr="00260685">
        <w:rPr>
          <w:rFonts w:ascii="Times New Roman" w:hAnsi="Times New Roman" w:cs="Times New Roman"/>
        </w:rPr>
        <w:t>Anura</w:t>
      </w:r>
      <w:proofErr w:type="spellEnd"/>
      <w:r w:rsidR="007A0A86" w:rsidRPr="00260685">
        <w:rPr>
          <w:rFonts w:ascii="Times New Roman" w:hAnsi="Times New Roman" w:cs="Times New Roman"/>
        </w:rPr>
        <w:t xml:space="preserve"> </w:t>
      </w:r>
      <w:proofErr w:type="spellStart"/>
      <w:r w:rsidR="007A0A86" w:rsidRPr="00260685">
        <w:rPr>
          <w:rFonts w:ascii="Times New Roman" w:hAnsi="Times New Roman" w:cs="Times New Roman"/>
        </w:rPr>
        <w:t>Amarasinghe</w:t>
      </w:r>
      <w:proofErr w:type="spellEnd"/>
      <w:r w:rsidR="007A0A86" w:rsidRPr="00260685">
        <w:rPr>
          <w:rFonts w:ascii="Times New Roman" w:hAnsi="Times New Roman" w:cs="Times New Roman"/>
        </w:rPr>
        <w:t xml:space="preserve"> and Gareth Biggs (Australian Bureau of Statistics). </w:t>
      </w:r>
      <w:r w:rsidR="007A0A86">
        <w:rPr>
          <w:rFonts w:ascii="Times New Roman" w:hAnsi="Times New Roman"/>
        </w:rPr>
        <w:t>(2017)</w:t>
      </w:r>
      <w:r w:rsidR="007A0A86" w:rsidRPr="00260685">
        <w:rPr>
          <w:rFonts w:ascii="Times New Roman" w:hAnsi="Times New Roman" w:cs="Times New Roman"/>
        </w:rPr>
        <w:t xml:space="preserve"> Earth Observations for Official Statistics Satellite Imagery and Geospatial Data Task Team report 5 </w:t>
      </w:r>
      <w:proofErr w:type="spellStart"/>
      <w:proofErr w:type="gramStart"/>
      <w:r w:rsidR="007A0A86" w:rsidRPr="00260685">
        <w:rPr>
          <w:rFonts w:ascii="Times New Roman" w:hAnsi="Times New Roman" w:cs="Times New Roman"/>
        </w:rPr>
        <w:t>th</w:t>
      </w:r>
      <w:proofErr w:type="spellEnd"/>
      <w:proofErr w:type="gramEnd"/>
      <w:r w:rsidR="007A0A86" w:rsidRPr="00260685">
        <w:rPr>
          <w:rFonts w:ascii="Times New Roman" w:hAnsi="Times New Roman" w:cs="Times New Roman"/>
        </w:rPr>
        <w:t xml:space="preserve"> December 2017 White cover publication, United Nations Australian Bureau of Statistics Queensland University of Technology, Australia Queensland Government, Australia Commonwealth Scientific and Industrial Research Organisation, Australia European Commission – DG Eurostat National Institute of Statistics and Geography, Mexico Statistics Canada</w:t>
      </w:r>
      <w:r w:rsidR="007A0A86">
        <w:rPr>
          <w:rFonts w:ascii="Times New Roman" w:hAnsi="Times New Roman"/>
        </w:rPr>
        <w:t>.</w:t>
      </w:r>
    </w:p>
    <w:p w:rsidR="008F1262" w:rsidRPr="00FF49D8" w:rsidRDefault="008F1262" w:rsidP="008F1262">
      <w:pPr>
        <w:jc w:val="both"/>
        <w:rPr>
          <w:rFonts w:ascii="Times New Roman" w:hAnsi="Times New Roman" w:cs="Times New Roman"/>
        </w:rPr>
      </w:pPr>
      <w:r w:rsidRPr="00FF49D8">
        <w:rPr>
          <w:rFonts w:ascii="Times New Roman" w:hAnsi="Times New Roman" w:cs="Times New Roman"/>
        </w:rPr>
        <w:lastRenderedPageBreak/>
        <w:t>When determining whether EO data is appropriate for specific statistical purposes, a key question is whether the required data or information products can be generated from EO at all. T</w:t>
      </w:r>
      <w:r>
        <w:rPr>
          <w:rFonts w:ascii="Times New Roman" w:hAnsi="Times New Roman" w:cs="Times New Roman"/>
        </w:rPr>
        <w:t>he decision-tree in Fi</w:t>
      </w:r>
      <w:r>
        <w:rPr>
          <w:rFonts w:ascii="Times New Roman" w:hAnsi="Times New Roman" w:cs="Times New Roman"/>
        </w:rPr>
        <w:t>gure 1</w:t>
      </w:r>
      <w:r w:rsidRPr="00FF49D8">
        <w:rPr>
          <w:rFonts w:ascii="Times New Roman" w:hAnsi="Times New Roman" w:cs="Times New Roman"/>
        </w:rPr>
        <w:t xml:space="preserve"> will help to decide whether it is appropriate and possible to use EO data products.</w:t>
      </w:r>
    </w:p>
    <w:p w:rsidR="008F1262" w:rsidRPr="000E221A" w:rsidRDefault="008F1262" w:rsidP="008F1262">
      <w:pPr>
        <w:jc w:val="both"/>
        <w:rPr>
          <w:rFonts w:ascii="Times New Roman" w:hAnsi="Times New Roman" w:cs="Times New Roman"/>
        </w:rPr>
      </w:pPr>
      <w:r>
        <w:rPr>
          <w:rFonts w:ascii="Times New Roman" w:hAnsi="Times New Roman" w:cs="Times New Roman"/>
        </w:rPr>
        <w:t xml:space="preserve">Figure </w:t>
      </w:r>
      <w:r>
        <w:rPr>
          <w:rFonts w:ascii="Times New Roman" w:hAnsi="Times New Roman" w:cs="Times New Roman"/>
        </w:rPr>
        <w:t>1</w:t>
      </w:r>
      <w:r w:rsidRPr="000E221A">
        <w:rPr>
          <w:rFonts w:ascii="Times New Roman" w:hAnsi="Times New Roman" w:cs="Times New Roman"/>
        </w:rPr>
        <w:t xml:space="preserve">: </w:t>
      </w:r>
      <w:r>
        <w:rPr>
          <w:rFonts w:ascii="Times New Roman" w:hAnsi="Times New Roman" w:cs="Times New Roman"/>
        </w:rPr>
        <w:t xml:space="preserve">CSIRO </w:t>
      </w:r>
      <w:r w:rsidRPr="000E221A">
        <w:rPr>
          <w:rFonts w:ascii="Times New Roman" w:hAnsi="Times New Roman" w:cs="Times New Roman"/>
        </w:rPr>
        <w:t>Decision Tree on usage of EO data for NSOs</w:t>
      </w:r>
    </w:p>
    <w:p w:rsidR="008F1262" w:rsidRDefault="008F1262" w:rsidP="008F1262">
      <w:pPr>
        <w:jc w:val="both"/>
        <w:rPr>
          <w:rFonts w:ascii="Times New Roman" w:hAnsi="Times New Roman" w:cs="Times New Roman"/>
        </w:rPr>
      </w:pPr>
      <w:r w:rsidRPr="000E221A">
        <w:rPr>
          <w:rFonts w:ascii="Times New Roman" w:hAnsi="Times New Roman" w:cs="Times New Roman"/>
        </w:rPr>
        <w:t>Case studies of implementation of EO data for statistical purposes would be useful in order to further assist with making decisions for the business case about methodological feasibility and costs of acquiring, preparing and pre-processing this data. Such case studies could then help inform decisions for future applications.</w:t>
      </w:r>
    </w:p>
    <w:p w:rsidR="008F1262" w:rsidRDefault="008F1262" w:rsidP="008F1262">
      <w:pPr>
        <w:jc w:val="both"/>
        <w:rPr>
          <w:rFonts w:ascii="Times New Roman" w:hAnsi="Times New Roman" w:cs="Times New Roman"/>
        </w:rPr>
      </w:pPr>
    </w:p>
    <w:p w:rsidR="008F1262" w:rsidRPr="000E221A" w:rsidRDefault="008F1262" w:rsidP="008F1262">
      <w:pPr>
        <w:jc w:val="both"/>
        <w:rPr>
          <w:rFonts w:ascii="Times New Roman" w:hAnsi="Times New Roman" w:cs="Times New Roman"/>
        </w:rPr>
      </w:pPr>
    </w:p>
    <w:p w:rsidR="008F1262" w:rsidRPr="000E221A" w:rsidRDefault="008F1262" w:rsidP="008F1262">
      <w:pPr>
        <w:pStyle w:val="Heading5"/>
        <w:jc w:val="both"/>
      </w:pPr>
      <w:bookmarkStart w:id="0" w:name="_Toc464111351"/>
      <w:r>
        <w:t xml:space="preserve">5.4.1 </w:t>
      </w:r>
      <w:r w:rsidRPr="000E221A">
        <w:t>Minimum data requirements for EO</w:t>
      </w:r>
      <w:bookmarkEnd w:id="0"/>
      <w:r w:rsidRPr="000E221A">
        <w:t xml:space="preserve"> </w:t>
      </w:r>
    </w:p>
    <w:p w:rsidR="008F1262" w:rsidRPr="000E221A" w:rsidRDefault="008F1262" w:rsidP="008F1262">
      <w:pPr>
        <w:jc w:val="both"/>
        <w:rPr>
          <w:rFonts w:ascii="Times New Roman" w:hAnsi="Times New Roman" w:cs="Times New Roman"/>
        </w:rPr>
      </w:pPr>
      <w:r w:rsidRPr="000E221A">
        <w:rPr>
          <w:rFonts w:ascii="Times New Roman" w:hAnsi="Times New Roman" w:cs="Times New Roman"/>
        </w:rPr>
        <w:t>To determine minimum EO data requirements, the following questions need to be raised and answered before deciding to use EO data:</w:t>
      </w:r>
    </w:p>
    <w:tbl>
      <w:tblPr>
        <w:tblW w:w="9350"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791"/>
        <w:gridCol w:w="3788"/>
        <w:gridCol w:w="3771"/>
      </w:tblGrid>
      <w:tr w:rsidR="008F1262" w:rsidRPr="000E221A" w:rsidTr="00545939">
        <w:trPr>
          <w:trHeight w:val="298"/>
          <w:jc w:val="center"/>
        </w:trPr>
        <w:tc>
          <w:tcPr>
            <w:tcW w:w="2480" w:type="dxa"/>
            <w:gridSpan w:val="2"/>
            <w:tcBorders>
              <w:top w:val="single" w:sz="8" w:space="0" w:color="7BA0CD"/>
              <w:left w:val="single" w:sz="8" w:space="0" w:color="7BA0CD"/>
              <w:bottom w:val="single" w:sz="8" w:space="0" w:color="7BA0CD"/>
              <w:right w:val="nil"/>
            </w:tcBorders>
            <w:shd w:val="clear" w:color="auto" w:fill="auto"/>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Justification</w:t>
            </w:r>
          </w:p>
        </w:tc>
        <w:tc>
          <w:tcPr>
            <w:tcW w:w="6870" w:type="dxa"/>
            <w:tcBorders>
              <w:top w:val="single" w:sz="8" w:space="0" w:color="7BA0CD"/>
              <w:left w:val="nil"/>
              <w:bottom w:val="single" w:sz="8" w:space="0" w:color="7BA0CD"/>
              <w:right w:val="single" w:sz="8" w:space="0" w:color="7BA0CD"/>
            </w:tcBorders>
            <w:shd w:val="clear" w:color="auto" w:fill="auto"/>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Do you need to use EO? Is there a better alternative source?</w:t>
            </w:r>
          </w:p>
        </w:tc>
      </w:tr>
      <w:tr w:rsidR="008F1262" w:rsidRPr="000E221A" w:rsidTr="00545939">
        <w:trPr>
          <w:trHeight w:val="102"/>
          <w:jc w:val="center"/>
        </w:trPr>
        <w:tc>
          <w:tcPr>
            <w:tcW w:w="2480" w:type="dxa"/>
            <w:gridSpan w:val="2"/>
            <w:tcBorders>
              <w:right w:val="nil"/>
            </w:tcBorders>
            <w:shd w:val="clear" w:color="auto" w:fill="D3DFEE"/>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Suitability</w:t>
            </w:r>
          </w:p>
        </w:tc>
        <w:tc>
          <w:tcPr>
            <w:tcW w:w="6870" w:type="dxa"/>
            <w:tcBorders>
              <w:left w:val="nil"/>
            </w:tcBorders>
            <w:shd w:val="clear" w:color="auto" w:fill="D3DFEE"/>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Can EO provide the required data products?</w:t>
            </w:r>
          </w:p>
        </w:tc>
      </w:tr>
      <w:tr w:rsidR="008F1262" w:rsidRPr="000E221A" w:rsidTr="00545939">
        <w:trPr>
          <w:trHeight w:val="106"/>
          <w:jc w:val="center"/>
        </w:trPr>
        <w:tc>
          <w:tcPr>
            <w:tcW w:w="2480" w:type="dxa"/>
            <w:gridSpan w:val="2"/>
            <w:tcBorders>
              <w:right w:val="nil"/>
            </w:tcBorders>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Spatial resolution</w:t>
            </w:r>
          </w:p>
        </w:tc>
        <w:tc>
          <w:tcPr>
            <w:tcW w:w="6870" w:type="dxa"/>
            <w:tcBorders>
              <w:left w:val="nil"/>
            </w:tcBorders>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What is the appropriate size of pixel?</w:t>
            </w:r>
          </w:p>
        </w:tc>
      </w:tr>
      <w:tr w:rsidR="008F1262" w:rsidRPr="000E221A" w:rsidTr="00545939">
        <w:trPr>
          <w:trHeight w:val="106"/>
          <w:jc w:val="center"/>
        </w:trPr>
        <w:tc>
          <w:tcPr>
            <w:tcW w:w="2480" w:type="dxa"/>
            <w:gridSpan w:val="2"/>
            <w:tcBorders>
              <w:right w:val="nil"/>
            </w:tcBorders>
            <w:shd w:val="clear" w:color="auto" w:fill="D3DFEE"/>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Temporal frequency</w:t>
            </w:r>
          </w:p>
        </w:tc>
        <w:tc>
          <w:tcPr>
            <w:tcW w:w="6870" w:type="dxa"/>
            <w:tcBorders>
              <w:left w:val="nil"/>
            </w:tcBorders>
            <w:shd w:val="clear" w:color="auto" w:fill="D3DFEE"/>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What is the required frequency of these EO data acquisitions?</w:t>
            </w:r>
          </w:p>
        </w:tc>
      </w:tr>
      <w:tr w:rsidR="008F1262" w:rsidRPr="000E221A" w:rsidTr="00545939">
        <w:trPr>
          <w:trHeight w:val="102"/>
          <w:jc w:val="center"/>
        </w:trPr>
        <w:tc>
          <w:tcPr>
            <w:tcW w:w="2480" w:type="dxa"/>
            <w:gridSpan w:val="2"/>
            <w:tcBorders>
              <w:right w:val="nil"/>
            </w:tcBorders>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Record length</w:t>
            </w:r>
          </w:p>
        </w:tc>
        <w:tc>
          <w:tcPr>
            <w:tcW w:w="6870" w:type="dxa"/>
            <w:tcBorders>
              <w:left w:val="nil"/>
            </w:tcBorders>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How far back in time does your data record need to go?</w:t>
            </w:r>
          </w:p>
        </w:tc>
      </w:tr>
      <w:tr w:rsidR="008F1262" w:rsidRPr="000E221A" w:rsidTr="00545939">
        <w:trPr>
          <w:gridAfter w:val="1"/>
          <w:wAfter w:w="3760" w:type="dxa"/>
          <w:trHeight w:val="163"/>
          <w:jc w:val="center"/>
        </w:trPr>
        <w:tc>
          <w:tcPr>
            <w:tcW w:w="2480" w:type="dxa"/>
            <w:tcBorders>
              <w:right w:val="nil"/>
            </w:tcBorders>
            <w:shd w:val="clear" w:color="auto" w:fill="D3DFEE"/>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Reliability</w:t>
            </w:r>
          </w:p>
        </w:tc>
        <w:tc>
          <w:tcPr>
            <w:tcW w:w="6870" w:type="dxa"/>
            <w:tcBorders>
              <w:left w:val="nil"/>
            </w:tcBorders>
            <w:shd w:val="clear" w:color="auto" w:fill="D3DFEE"/>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Do you need guaranteed continuation of data supply into the future?</w:t>
            </w:r>
          </w:p>
        </w:tc>
      </w:tr>
      <w:tr w:rsidR="008F1262" w:rsidRPr="000E221A" w:rsidTr="00545939">
        <w:trPr>
          <w:gridAfter w:val="1"/>
          <w:wAfter w:w="3760" w:type="dxa"/>
          <w:trHeight w:val="106"/>
          <w:jc w:val="center"/>
        </w:trPr>
        <w:tc>
          <w:tcPr>
            <w:tcW w:w="2480" w:type="dxa"/>
            <w:tcBorders>
              <w:right w:val="nil"/>
            </w:tcBorders>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Accuracy</w:t>
            </w:r>
          </w:p>
        </w:tc>
        <w:tc>
          <w:tcPr>
            <w:tcW w:w="6870" w:type="dxa"/>
            <w:tcBorders>
              <w:left w:val="nil"/>
            </w:tcBorders>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What degree of accuracy is needed in the information product?</w:t>
            </w:r>
          </w:p>
        </w:tc>
      </w:tr>
      <w:tr w:rsidR="008F1262" w:rsidRPr="000E221A" w:rsidTr="00545939">
        <w:trPr>
          <w:gridAfter w:val="1"/>
          <w:wAfter w:w="3760" w:type="dxa"/>
          <w:trHeight w:val="57"/>
          <w:jc w:val="center"/>
        </w:trPr>
        <w:tc>
          <w:tcPr>
            <w:tcW w:w="2480" w:type="dxa"/>
            <w:tcBorders>
              <w:right w:val="nil"/>
            </w:tcBorders>
            <w:shd w:val="clear" w:color="auto" w:fill="D3DFEE"/>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Maturity</w:t>
            </w:r>
          </w:p>
        </w:tc>
        <w:tc>
          <w:tcPr>
            <w:tcW w:w="6870" w:type="dxa"/>
            <w:tcBorders>
              <w:left w:val="nil"/>
            </w:tcBorders>
            <w:shd w:val="clear" w:color="auto" w:fill="D3DFEE"/>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Do you want to use only information products that are well documented and are commonly used?</w:t>
            </w:r>
          </w:p>
        </w:tc>
      </w:tr>
      <w:tr w:rsidR="008F1262" w:rsidRPr="000E221A" w:rsidTr="00545939">
        <w:trPr>
          <w:gridAfter w:val="1"/>
          <w:wAfter w:w="3760" w:type="dxa"/>
          <w:trHeight w:val="13"/>
          <w:jc w:val="center"/>
        </w:trPr>
        <w:tc>
          <w:tcPr>
            <w:tcW w:w="2480" w:type="dxa"/>
            <w:tcBorders>
              <w:right w:val="nil"/>
            </w:tcBorders>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Complexity</w:t>
            </w:r>
          </w:p>
        </w:tc>
        <w:tc>
          <w:tcPr>
            <w:tcW w:w="6870" w:type="dxa"/>
            <w:tcBorders>
              <w:left w:val="nil"/>
            </w:tcBorders>
          </w:tcPr>
          <w:p w:rsidR="008F1262" w:rsidRPr="000E221A" w:rsidRDefault="008F1262" w:rsidP="00545939">
            <w:pPr>
              <w:jc w:val="both"/>
              <w:rPr>
                <w:rFonts w:ascii="Times New Roman" w:hAnsi="Times New Roman" w:cs="Times New Roman"/>
              </w:rPr>
            </w:pPr>
            <w:r w:rsidRPr="000E221A">
              <w:rPr>
                <w:rFonts w:ascii="Times New Roman" w:hAnsi="Times New Roman" w:cs="Times New Roman"/>
              </w:rPr>
              <w:t>What data management, processing and analysis capacity is available?</w:t>
            </w:r>
          </w:p>
        </w:tc>
      </w:tr>
    </w:tbl>
    <w:p w:rsidR="008F1262" w:rsidRDefault="008F1262" w:rsidP="008F1262">
      <w:pPr>
        <w:jc w:val="both"/>
        <w:rPr>
          <w:rFonts w:ascii="Times New Roman" w:hAnsi="Times New Roman" w:cs="Times New Roman"/>
        </w:rPr>
      </w:pPr>
      <w:r w:rsidRPr="000E221A">
        <w:rPr>
          <w:rFonts w:ascii="Times New Roman" w:hAnsi="Times New Roman" w:cs="Times New Roman"/>
        </w:rPr>
        <w:t xml:space="preserve">Figure </w:t>
      </w:r>
      <w:r>
        <w:rPr>
          <w:rFonts w:ascii="Times New Roman" w:hAnsi="Times New Roman" w:cs="Times New Roman"/>
        </w:rPr>
        <w:t>2</w:t>
      </w:r>
      <w:r w:rsidRPr="000E221A">
        <w:rPr>
          <w:rFonts w:ascii="Times New Roman" w:hAnsi="Times New Roman" w:cs="Times New Roman"/>
        </w:rPr>
        <w:t>: Requirements for the use of EO</w:t>
      </w:r>
      <w:r w:rsidR="007A0A86">
        <w:rPr>
          <w:rFonts w:ascii="Times New Roman" w:hAnsi="Times New Roman" w:cs="Times New Roman"/>
        </w:rPr>
        <w:t xml:space="preserve"> (after WorldBank 2016</w:t>
      </w:r>
      <w:bookmarkStart w:id="1" w:name="_GoBack"/>
      <w:bookmarkEnd w:id="1"/>
      <w:r w:rsidR="007A0A86">
        <w:rPr>
          <w:rFonts w:ascii="Times New Roman" w:hAnsi="Times New Roman" w:cs="Times New Roman"/>
        </w:rPr>
        <w:t xml:space="preserve"> page 7 Executive Summary</w:t>
      </w:r>
      <w:r>
        <w:rPr>
          <w:rFonts w:ascii="Times New Roman" w:hAnsi="Times New Roman" w:cs="Times New Roman"/>
        </w:rPr>
        <w:t>)</w:t>
      </w:r>
    </w:p>
    <w:p w:rsidR="007A0A86" w:rsidRDefault="007A0A86" w:rsidP="008F1262">
      <w:pPr>
        <w:jc w:val="both"/>
        <w:rPr>
          <w:rFonts w:ascii="Times New Roman" w:hAnsi="Times New Roman" w:cs="Times New Roman"/>
        </w:rPr>
      </w:pPr>
    </w:p>
    <w:p w:rsidR="007A0A86" w:rsidRPr="00E400D1" w:rsidRDefault="007A0A86" w:rsidP="007A0A86">
      <w:pPr>
        <w:spacing w:after="120" w:line="240" w:lineRule="auto"/>
        <w:rPr>
          <w:rFonts w:ascii="Times New Roman" w:hAnsi="Times New Roman"/>
        </w:rPr>
      </w:pPr>
      <w:r>
        <w:rPr>
          <w:rFonts w:ascii="Times New Roman" w:hAnsi="Times New Roman"/>
        </w:rPr>
        <w:t xml:space="preserve">WorldBank Report: </w:t>
      </w:r>
      <w:r w:rsidRPr="00E400D1">
        <w:rPr>
          <w:rFonts w:ascii="Times New Roman" w:hAnsi="Times New Roman"/>
        </w:rPr>
        <w:t xml:space="preserve">L.E. </w:t>
      </w:r>
      <w:proofErr w:type="spellStart"/>
      <w:r w:rsidRPr="00E400D1">
        <w:rPr>
          <w:rFonts w:ascii="Times New Roman" w:hAnsi="Times New Roman"/>
        </w:rPr>
        <w:t>García</w:t>
      </w:r>
      <w:proofErr w:type="spellEnd"/>
      <w:r w:rsidRPr="00E400D1">
        <w:rPr>
          <w:rFonts w:ascii="Times New Roman" w:hAnsi="Times New Roman"/>
        </w:rPr>
        <w:t xml:space="preserve">, D. J. Rodríguez, M. Wijnen and </w:t>
      </w:r>
      <w:hyperlink r:id="rId6" w:history="1">
        <w:r w:rsidRPr="00E400D1">
          <w:rPr>
            <w:rStyle w:val="Hyperlink"/>
            <w:rFonts w:ascii="Times New Roman" w:hAnsi="Times New Roman"/>
          </w:rPr>
          <w:t>I Pakulski</w:t>
        </w:r>
      </w:hyperlink>
      <w:r w:rsidRPr="00E400D1">
        <w:rPr>
          <w:rFonts w:ascii="Times New Roman" w:hAnsi="Times New Roman"/>
        </w:rPr>
        <w:t xml:space="preserve"> (Eds.), ‘Earth Observation for Water Resources Management: Current Use and Future Opportunities for the Water </w:t>
      </w:r>
      <w:r w:rsidRPr="00E400D1">
        <w:rPr>
          <w:rFonts w:ascii="Times New Roman" w:hAnsi="Times New Roman"/>
        </w:rPr>
        <w:lastRenderedPageBreak/>
        <w:t>Sector’,</w:t>
      </w:r>
      <w:r>
        <w:rPr>
          <w:rFonts w:ascii="Times New Roman" w:hAnsi="Times New Roman"/>
        </w:rPr>
        <w:t xml:space="preserve"> (2016</w:t>
      </w:r>
      <w:proofErr w:type="gramStart"/>
      <w:r>
        <w:rPr>
          <w:rFonts w:ascii="Times New Roman" w:hAnsi="Times New Roman"/>
        </w:rPr>
        <w:t xml:space="preserve">) </w:t>
      </w:r>
      <w:r w:rsidRPr="00E400D1">
        <w:rPr>
          <w:rFonts w:ascii="Times New Roman" w:hAnsi="Times New Roman"/>
        </w:rPr>
        <w:t xml:space="preserve"> The</w:t>
      </w:r>
      <w:proofErr w:type="gramEnd"/>
      <w:r w:rsidRPr="00E400D1">
        <w:rPr>
          <w:rFonts w:ascii="Times New Roman" w:hAnsi="Times New Roman"/>
        </w:rPr>
        <w:t xml:space="preserve"> World Bank Group, Washington, USA, pp 145-166. ISBN: 978-1-4648-0475-5; e-ISBN: 978-1-4648-0476-2; </w:t>
      </w:r>
      <w:hyperlink r:id="rId7" w:history="1">
        <w:r w:rsidRPr="00E400D1">
          <w:rPr>
            <w:rStyle w:val="Hyperlink"/>
            <w:rFonts w:ascii="Times New Roman" w:hAnsi="Times New Roman"/>
          </w:rPr>
          <w:t>http://dx.doi.org/10.1596/978-1-4648-0475-5</w:t>
        </w:r>
      </w:hyperlink>
    </w:p>
    <w:p w:rsidR="007A0A86" w:rsidRDefault="007A0A86" w:rsidP="008F1262">
      <w:pPr>
        <w:jc w:val="both"/>
        <w:rPr>
          <w:rFonts w:ascii="Times New Roman" w:hAnsi="Times New Roman" w:cs="Times New Roman"/>
        </w:rPr>
      </w:pPr>
    </w:p>
    <w:p w:rsidR="007A0A86" w:rsidRDefault="007A0A86" w:rsidP="008F1262">
      <w:pPr>
        <w:jc w:val="both"/>
        <w:rPr>
          <w:rFonts w:ascii="Times New Roman" w:hAnsi="Times New Roman" w:cs="Times New Roman"/>
        </w:rPr>
      </w:pPr>
    </w:p>
    <w:p w:rsidR="007A0A86" w:rsidRPr="000E221A" w:rsidRDefault="007A0A86" w:rsidP="008F1262">
      <w:pPr>
        <w:jc w:val="both"/>
        <w:rPr>
          <w:rFonts w:ascii="Times New Roman" w:hAnsi="Times New Roman" w:cs="Times New Roman"/>
        </w:rPr>
      </w:pPr>
    </w:p>
    <w:p w:rsidR="00197537" w:rsidRDefault="00197537"/>
    <w:sectPr w:rsidR="00197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E21D6"/>
    <w:multiLevelType w:val="hybridMultilevel"/>
    <w:tmpl w:val="5C92B28E"/>
    <w:lvl w:ilvl="0" w:tplc="A8F8AC6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6B61669"/>
    <w:multiLevelType w:val="hybridMultilevel"/>
    <w:tmpl w:val="29760CB6"/>
    <w:lvl w:ilvl="0" w:tplc="2B06D56A">
      <w:start w:val="1"/>
      <w:numFmt w:val="decimal"/>
      <w:lvlText w:val="%1."/>
      <w:lvlJc w:val="left"/>
      <w:pPr>
        <w:tabs>
          <w:tab w:val="num" w:pos="747"/>
        </w:tabs>
        <w:ind w:left="747" w:hanging="567"/>
      </w:pPr>
      <w:rPr>
        <w:rFonts w:ascii="Times New Roman" w:hAnsi="Times New Roman" w:hint="default"/>
        <w:b w:val="0"/>
        <w:i w:val="0"/>
        <w:sz w:val="22"/>
        <w:szCs w:val="22"/>
      </w:rPr>
    </w:lvl>
    <w:lvl w:ilvl="1" w:tplc="AD064B7E">
      <w:start w:val="200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62"/>
    <w:rsid w:val="00197537"/>
    <w:rsid w:val="007A0A86"/>
    <w:rsid w:val="008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41EBE-3A3D-43CD-A572-73712FE8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62"/>
    <w:pPr>
      <w:spacing w:after="200" w:line="276" w:lineRule="auto"/>
    </w:pPr>
    <w:rPr>
      <w:lang w:val="en-GB"/>
    </w:rPr>
  </w:style>
  <w:style w:type="paragraph" w:styleId="Heading5">
    <w:name w:val="heading 5"/>
    <w:basedOn w:val="Normal"/>
    <w:next w:val="Normal"/>
    <w:link w:val="Heading5Char"/>
    <w:uiPriority w:val="9"/>
    <w:unhideWhenUsed/>
    <w:qFormat/>
    <w:rsid w:val="008F1262"/>
    <w:pPr>
      <w:keepNext/>
      <w:keepLines/>
      <w:spacing w:before="200" w:after="0"/>
      <w:outlineLvl w:val="4"/>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F1262"/>
    <w:rPr>
      <w:rFonts w:ascii="Times New Roman" w:eastAsiaTheme="majorEastAsia" w:hAnsi="Times New Roman" w:cstheme="majorBidi"/>
      <w:b/>
      <w:lang w:val="en-GB"/>
    </w:rPr>
  </w:style>
  <w:style w:type="character" w:styleId="Hyperlink">
    <w:name w:val="Hyperlink"/>
    <w:rsid w:val="007A0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596/978-1-4648-047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worldbank.org/author/Pakulski%2C+Ing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Arnold (L&amp;W, Black Mountain)</dc:creator>
  <cp:keywords/>
  <dc:description/>
  <cp:lastModifiedBy>Dekker, Arnold (L&amp;W, Black Mountain)</cp:lastModifiedBy>
  <cp:revision>2</cp:revision>
  <dcterms:created xsi:type="dcterms:W3CDTF">2018-10-08T08:05:00Z</dcterms:created>
  <dcterms:modified xsi:type="dcterms:W3CDTF">2018-10-08T08:23:00Z</dcterms:modified>
</cp:coreProperties>
</file>